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49D5" w14:textId="77777777" w:rsidR="00ED6262" w:rsidRDefault="00ED626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0559D8E9" w14:textId="77777777" w:rsidR="00ED6262" w:rsidRDefault="00ED626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3A5651A5" w14:textId="77777777" w:rsidR="00ED6262" w:rsidRDefault="00ED626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01445532" w14:textId="37819D97" w:rsidR="00ED6262" w:rsidRDefault="00B201B6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45279CA" wp14:editId="41512396">
            <wp:simplePos x="0" y="0"/>
            <wp:positionH relativeFrom="column">
              <wp:posOffset>358346</wp:posOffset>
            </wp:positionH>
            <wp:positionV relativeFrom="paragraph">
              <wp:posOffset>3055</wp:posOffset>
            </wp:positionV>
            <wp:extent cx="593124" cy="1026804"/>
            <wp:effectExtent l="0" t="0" r="0" b="1905"/>
            <wp:wrapNone/>
            <wp:docPr id="161945878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58785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24" cy="102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7FED24D3" w14:textId="77777777" w:rsidR="00B201B6" w:rsidRDefault="00B201B6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7C7977D5" w14:textId="6D611EBF" w:rsidR="00B201B6" w:rsidRPr="00B201B6" w:rsidRDefault="00B201B6" w:rsidP="00B201B6">
      <w:pPr>
        <w:ind w:left="567" w:right="45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01B6">
        <w:rPr>
          <w:rFonts w:asciiTheme="minorHAnsi" w:hAnsiTheme="minorHAnsi" w:cstheme="minorHAnsi"/>
          <w:b/>
          <w:bCs/>
          <w:sz w:val="22"/>
          <w:szCs w:val="22"/>
        </w:rPr>
        <w:t xml:space="preserve">DIVE SASK SAFE SPORT POLICY </w:t>
      </w:r>
    </w:p>
    <w:p w14:paraId="551518CE" w14:textId="74E9F93F" w:rsidR="00B201B6" w:rsidRPr="00B201B6" w:rsidRDefault="00B201B6" w:rsidP="00B201B6">
      <w:pPr>
        <w:ind w:left="567" w:right="45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01B6">
        <w:rPr>
          <w:rFonts w:asciiTheme="minorHAnsi" w:hAnsiTheme="minorHAnsi" w:cstheme="minorHAnsi"/>
          <w:b/>
          <w:bCs/>
          <w:sz w:val="22"/>
          <w:szCs w:val="22"/>
        </w:rPr>
        <w:t>EXCEPTIONS</w:t>
      </w:r>
    </w:p>
    <w:p w14:paraId="14EEBB66" w14:textId="77777777" w:rsidR="00B201B6" w:rsidRDefault="00B201B6" w:rsidP="00B201B6">
      <w:pPr>
        <w:ind w:left="567" w:right="452"/>
        <w:jc w:val="center"/>
        <w:rPr>
          <w:rFonts w:asciiTheme="minorHAnsi" w:hAnsiTheme="minorHAnsi" w:cstheme="minorHAnsi"/>
          <w:sz w:val="22"/>
          <w:szCs w:val="22"/>
        </w:rPr>
      </w:pPr>
    </w:p>
    <w:p w14:paraId="503C31B0" w14:textId="77777777" w:rsidR="00B201B6" w:rsidRDefault="00B201B6" w:rsidP="00B201B6">
      <w:pPr>
        <w:ind w:left="567" w:right="452"/>
        <w:jc w:val="center"/>
        <w:rPr>
          <w:rFonts w:asciiTheme="minorHAnsi" w:hAnsiTheme="minorHAnsi" w:cstheme="minorHAnsi"/>
          <w:sz w:val="22"/>
          <w:szCs w:val="22"/>
        </w:rPr>
      </w:pPr>
    </w:p>
    <w:p w14:paraId="4D2405DD" w14:textId="77777777" w:rsidR="00B201B6" w:rsidRDefault="00B201B6" w:rsidP="00B201B6">
      <w:pPr>
        <w:ind w:left="567" w:right="452"/>
        <w:jc w:val="center"/>
        <w:rPr>
          <w:rFonts w:asciiTheme="minorHAnsi" w:hAnsiTheme="minorHAnsi" w:cstheme="minorHAnsi"/>
          <w:sz w:val="22"/>
          <w:szCs w:val="22"/>
        </w:rPr>
      </w:pPr>
    </w:p>
    <w:p w14:paraId="339BAAA2" w14:textId="609BE54C" w:rsidR="00B201B6" w:rsidRPr="007A0675" w:rsidRDefault="00B201B6" w:rsidP="00B201B6">
      <w:pPr>
        <w:ind w:left="567" w:right="452"/>
        <w:jc w:val="center"/>
        <w:rPr>
          <w:rFonts w:ascii="Webdings" w:hAnsi="Webdings" w:cstheme="minorHAnsi"/>
          <w:sz w:val="22"/>
          <w:szCs w:val="22"/>
        </w:rPr>
      </w:pPr>
    </w:p>
    <w:p w14:paraId="4D3A2E7A" w14:textId="11FC31A0" w:rsidR="00ED6262" w:rsidRPr="002530C2" w:rsidRDefault="00926F23" w:rsidP="00ED6262">
      <w:pPr>
        <w:ind w:left="567" w:right="45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September 2025</w:t>
      </w:r>
    </w:p>
    <w:p w14:paraId="0364E016" w14:textId="77777777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406F62BA" w14:textId="09534E82" w:rsidR="00786A2A" w:rsidRDefault="00786A2A" w:rsidP="002530C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DIVE SASK</w:t>
      </w:r>
      <w:r w:rsidRPr="003F2445">
        <w:rPr>
          <w:rFonts w:asciiTheme="minorHAnsi" w:hAnsiTheme="minorHAnsi" w:cstheme="minorHAnsi"/>
          <w:sz w:val="22"/>
          <w:szCs w:val="22"/>
        </w:rPr>
        <w:t xml:space="preserve"> has a fundamental obligation and responsibility to protect the health, safety and physical and mental well-being of every Individual that is involved in the </w:t>
      </w:r>
      <w:r>
        <w:rPr>
          <w:rFonts w:asciiTheme="minorHAnsi" w:hAnsiTheme="minorHAnsi" w:cstheme="minorHAnsi"/>
          <w:sz w:val="22"/>
          <w:szCs w:val="22"/>
        </w:rPr>
        <w:t>Diving</w:t>
      </w:r>
      <w:r w:rsidRPr="003F2445">
        <w:rPr>
          <w:rFonts w:asciiTheme="minorHAnsi" w:hAnsiTheme="minorHAnsi" w:cstheme="minorHAnsi"/>
          <w:sz w:val="22"/>
          <w:szCs w:val="22"/>
        </w:rPr>
        <w:t xml:space="preserve"> community.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0B3B">
        <w:rPr>
          <w:rFonts w:asciiTheme="minorHAnsi" w:hAnsiTheme="minorHAnsi" w:cstheme="minorHAnsi"/>
          <w:sz w:val="22"/>
          <w:szCs w:val="22"/>
        </w:rPr>
        <w:t>To that end</w:t>
      </w:r>
      <w:r w:rsidR="0011417F">
        <w:rPr>
          <w:rFonts w:asciiTheme="minorHAnsi" w:hAnsiTheme="minorHAnsi" w:cstheme="minorHAnsi"/>
          <w:sz w:val="22"/>
          <w:szCs w:val="22"/>
        </w:rPr>
        <w:t xml:space="preserve">, </w:t>
      </w:r>
      <w:r w:rsidR="00CA0B3B">
        <w:rPr>
          <w:rFonts w:asciiTheme="minorHAnsi" w:hAnsiTheme="minorHAnsi" w:cstheme="minorHAnsi"/>
          <w:sz w:val="22"/>
          <w:szCs w:val="22"/>
        </w:rPr>
        <w:t xml:space="preserve">all members of Dive Sask </w:t>
      </w:r>
      <w:r w:rsidR="0011417F">
        <w:rPr>
          <w:rFonts w:asciiTheme="minorHAnsi" w:hAnsiTheme="minorHAnsi" w:cstheme="minorHAnsi"/>
          <w:sz w:val="22"/>
          <w:szCs w:val="22"/>
        </w:rPr>
        <w:t xml:space="preserve">are bound to abide by the Safe Sport Policy as approved by the Dive Sask Board of Directors in </w:t>
      </w:r>
      <w:proofErr w:type="gramStart"/>
      <w:r w:rsidR="0011417F">
        <w:rPr>
          <w:rFonts w:asciiTheme="minorHAnsi" w:hAnsiTheme="minorHAnsi" w:cstheme="minorHAnsi"/>
          <w:sz w:val="22"/>
          <w:szCs w:val="22"/>
        </w:rPr>
        <w:t>April,</w:t>
      </w:r>
      <w:proofErr w:type="gramEnd"/>
      <w:r w:rsidR="0011417F">
        <w:rPr>
          <w:rFonts w:asciiTheme="minorHAnsi" w:hAnsiTheme="minorHAnsi" w:cstheme="minorHAnsi"/>
          <w:sz w:val="22"/>
          <w:szCs w:val="22"/>
        </w:rPr>
        <w:t xml:space="preserve"> 2024.  </w:t>
      </w:r>
      <w:r>
        <w:rPr>
          <w:rFonts w:asciiTheme="minorHAnsi" w:hAnsiTheme="minorHAnsi" w:cstheme="minorHAnsi"/>
          <w:sz w:val="22"/>
          <w:szCs w:val="22"/>
        </w:rPr>
        <w:t xml:space="preserve"> We </w:t>
      </w:r>
      <w:r w:rsidR="0011417F">
        <w:rPr>
          <w:rFonts w:asciiTheme="minorHAnsi" w:hAnsiTheme="minorHAnsi" w:cstheme="minorHAnsi"/>
          <w:sz w:val="22"/>
          <w:szCs w:val="22"/>
        </w:rPr>
        <w:t xml:space="preserve">do, however, </w:t>
      </w:r>
      <w:r>
        <w:rPr>
          <w:rFonts w:asciiTheme="minorHAnsi" w:hAnsiTheme="minorHAnsi" w:cstheme="minorHAnsi"/>
          <w:sz w:val="22"/>
          <w:szCs w:val="22"/>
        </w:rPr>
        <w:t>recognize there may be times when you as a parent or guardian of a diver may want an exception to the generally accepted policy, especially related to Rule of 2</w:t>
      </w:r>
      <w:r w:rsidR="00B201B6">
        <w:rPr>
          <w:rFonts w:asciiTheme="minorHAnsi" w:hAnsiTheme="minorHAnsi" w:cstheme="minorHAnsi"/>
          <w:sz w:val="22"/>
          <w:szCs w:val="22"/>
        </w:rPr>
        <w:t xml:space="preserve"> and Coach travel policies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A6BAF96" w14:textId="46C466EE" w:rsidR="00786A2A" w:rsidRDefault="00786A2A" w:rsidP="00786A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50533" w14:textId="1BE8E9BD" w:rsidR="00786A2A" w:rsidRDefault="00786A2A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therefore ask you to consider the following circumstances and policies and indicate your approval for the stated exception.  Some situations are specific to a particular event and others are related to an ongoing length of time. </w:t>
      </w:r>
      <w:r w:rsidR="00B201B6">
        <w:rPr>
          <w:rFonts w:asciiTheme="minorHAnsi" w:hAnsiTheme="minorHAnsi" w:cstheme="minorHAnsi"/>
          <w:sz w:val="22"/>
          <w:szCs w:val="22"/>
        </w:rPr>
        <w:t xml:space="preserve">  Please list every event that you are granting your permission for </w:t>
      </w:r>
      <w:r w:rsidR="002530C2">
        <w:rPr>
          <w:rFonts w:asciiTheme="minorHAnsi" w:hAnsiTheme="minorHAnsi" w:cstheme="minorHAnsi"/>
          <w:sz w:val="22"/>
          <w:szCs w:val="22"/>
        </w:rPr>
        <w:t xml:space="preserve">an </w:t>
      </w:r>
      <w:r w:rsidR="00B201B6">
        <w:rPr>
          <w:rFonts w:asciiTheme="minorHAnsi" w:hAnsiTheme="minorHAnsi" w:cstheme="minorHAnsi"/>
          <w:sz w:val="22"/>
          <w:szCs w:val="22"/>
        </w:rPr>
        <w:t xml:space="preserve">exception or indicate if is for the entire </w:t>
      </w:r>
      <w:r w:rsidR="00926F23">
        <w:rPr>
          <w:rFonts w:asciiTheme="minorHAnsi" w:hAnsiTheme="minorHAnsi" w:cstheme="minorHAnsi"/>
          <w:sz w:val="22"/>
          <w:szCs w:val="22"/>
        </w:rPr>
        <w:t>25-26</w:t>
      </w:r>
      <w:r w:rsidR="00B201B6">
        <w:rPr>
          <w:rFonts w:asciiTheme="minorHAnsi" w:hAnsiTheme="minorHAnsi" w:cstheme="minorHAnsi"/>
          <w:sz w:val="22"/>
          <w:szCs w:val="22"/>
        </w:rPr>
        <w:t xml:space="preserve"> season.   For instance, if you want your coach to drive your child home after practice on an ongoing basis, write “</w:t>
      </w:r>
      <w:r w:rsidR="00926F23">
        <w:rPr>
          <w:rFonts w:asciiTheme="minorHAnsi" w:hAnsiTheme="minorHAnsi" w:cstheme="minorHAnsi"/>
          <w:sz w:val="22"/>
          <w:szCs w:val="22"/>
        </w:rPr>
        <w:t>25/26</w:t>
      </w:r>
      <w:r w:rsidR="00B201B6">
        <w:rPr>
          <w:rFonts w:asciiTheme="minorHAnsi" w:hAnsiTheme="minorHAnsi" w:cstheme="minorHAnsi"/>
          <w:sz w:val="22"/>
          <w:szCs w:val="22"/>
        </w:rPr>
        <w:t xml:space="preserve"> season” in the box.  If you only want them to drive your child home one time, write the specific date you are giving permission for.</w:t>
      </w:r>
      <w:r w:rsidR="002530C2">
        <w:rPr>
          <w:rFonts w:asciiTheme="minorHAnsi" w:hAnsiTheme="minorHAnsi" w:cstheme="minorHAnsi"/>
          <w:sz w:val="22"/>
          <w:szCs w:val="22"/>
        </w:rPr>
        <w:t xml:space="preserve">  If you never want your coach to be alone with your child in a car, leave that box blank and the current policy as written will remain in place.</w:t>
      </w:r>
    </w:p>
    <w:p w14:paraId="0DD17722" w14:textId="77777777" w:rsidR="00B201B6" w:rsidRDefault="00B201B6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5DDFD020" w14:textId="37741ECC" w:rsidR="00B201B6" w:rsidRDefault="00B201B6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note that for Team exceptions, a parent for every athlete on the team must agree to the exception.  If </w:t>
      </w:r>
      <w:r w:rsidR="005D63FC">
        <w:rPr>
          <w:rFonts w:asciiTheme="minorHAnsi" w:hAnsiTheme="minorHAnsi" w:cstheme="minorHAnsi"/>
          <w:sz w:val="22"/>
          <w:szCs w:val="22"/>
        </w:rPr>
        <w:t>one does not, the whole team will be bound by the original policy.</w:t>
      </w:r>
    </w:p>
    <w:p w14:paraId="1019C0C0" w14:textId="77777777" w:rsidR="005D63FC" w:rsidRDefault="005D63FC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06AFC7C8" w14:textId="04344183" w:rsidR="005D63FC" w:rsidRDefault="005D63FC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will be the responsibility of the Club Board of Directors to ensure every parent has received this form and has indicated their approval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before </w:t>
      </w:r>
      <w:r>
        <w:rPr>
          <w:rFonts w:asciiTheme="minorHAnsi" w:hAnsiTheme="minorHAnsi" w:cstheme="minorHAnsi"/>
          <w:sz w:val="22"/>
          <w:szCs w:val="22"/>
        </w:rPr>
        <w:t xml:space="preserve">the exception is put into place.  From </w:t>
      </w:r>
      <w:r w:rsidR="0011417F">
        <w:rPr>
          <w:rFonts w:asciiTheme="minorHAnsi" w:hAnsiTheme="minorHAnsi" w:cstheme="minorHAnsi"/>
          <w:sz w:val="22"/>
          <w:szCs w:val="22"/>
        </w:rPr>
        <w:t>time-to-time</w:t>
      </w:r>
      <w:r>
        <w:rPr>
          <w:rFonts w:asciiTheme="minorHAnsi" w:hAnsiTheme="minorHAnsi" w:cstheme="minorHAnsi"/>
          <w:sz w:val="22"/>
          <w:szCs w:val="22"/>
        </w:rPr>
        <w:t xml:space="preserve"> Dive Sask may ask for an audit of these forms.</w:t>
      </w:r>
      <w:r w:rsidR="0011417F">
        <w:rPr>
          <w:rFonts w:asciiTheme="minorHAnsi" w:hAnsiTheme="minorHAnsi" w:cstheme="minorHAnsi"/>
          <w:sz w:val="22"/>
          <w:szCs w:val="22"/>
        </w:rPr>
        <w:t xml:space="preserve">  If signed approval</w:t>
      </w:r>
      <w:r w:rsidR="002530C2">
        <w:rPr>
          <w:rFonts w:asciiTheme="minorHAnsi" w:hAnsiTheme="minorHAnsi" w:cstheme="minorHAnsi"/>
          <w:sz w:val="22"/>
          <w:szCs w:val="22"/>
        </w:rPr>
        <w:t xml:space="preserve"> for an exception</w:t>
      </w:r>
      <w:r w:rsidR="0011417F">
        <w:rPr>
          <w:rFonts w:asciiTheme="minorHAnsi" w:hAnsiTheme="minorHAnsi" w:cstheme="minorHAnsi"/>
          <w:sz w:val="22"/>
          <w:szCs w:val="22"/>
        </w:rPr>
        <w:t xml:space="preserve"> is not on file, the original policy must be </w:t>
      </w:r>
      <w:proofErr w:type="gramStart"/>
      <w:r w:rsidR="0011417F">
        <w:rPr>
          <w:rFonts w:asciiTheme="minorHAnsi" w:hAnsiTheme="minorHAnsi" w:cstheme="minorHAnsi"/>
          <w:sz w:val="22"/>
          <w:szCs w:val="22"/>
        </w:rPr>
        <w:t>adhered to at all times</w:t>
      </w:r>
      <w:proofErr w:type="gramEnd"/>
      <w:r w:rsidR="0011417F">
        <w:rPr>
          <w:rFonts w:asciiTheme="minorHAnsi" w:hAnsiTheme="minorHAnsi" w:cstheme="minorHAnsi"/>
          <w:sz w:val="22"/>
          <w:szCs w:val="22"/>
        </w:rPr>
        <w:t>.</w:t>
      </w:r>
    </w:p>
    <w:p w14:paraId="6412605C" w14:textId="77777777" w:rsidR="005D63FC" w:rsidRDefault="005D63FC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2F232665" w14:textId="1D0F7EDC" w:rsidR="005D63FC" w:rsidRDefault="005D63FC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Questions or concerns may be sent to Karen Swanson, Dive Sask Executive Director at </w:t>
      </w:r>
      <w:hyperlink r:id="rId6" w:history="1">
        <w:r w:rsidRPr="00250A37">
          <w:rPr>
            <w:rStyle w:val="Hyperlink"/>
            <w:rFonts w:asciiTheme="minorHAnsi" w:hAnsiTheme="minorHAnsi" w:cstheme="minorHAnsi"/>
            <w:sz w:val="22"/>
            <w:szCs w:val="22"/>
          </w:rPr>
          <w:t>info@divesask.ca</w:t>
        </w:r>
      </w:hyperlink>
    </w:p>
    <w:p w14:paraId="07FBA6F2" w14:textId="77777777" w:rsidR="005D63FC" w:rsidRDefault="005D63FC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2BAF7C9A" w14:textId="1E095938" w:rsidR="005D63FC" w:rsidRDefault="005D63FC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full Safe Sport Policy manual can be found </w:t>
      </w:r>
      <w:r w:rsidR="0011417F">
        <w:rPr>
          <w:rFonts w:asciiTheme="minorHAnsi" w:hAnsiTheme="minorHAnsi" w:cstheme="minorHAnsi"/>
          <w:sz w:val="22"/>
          <w:szCs w:val="22"/>
        </w:rPr>
        <w:t>on the Dive Sask website</w:t>
      </w:r>
    </w:p>
    <w:p w14:paraId="76CCE023" w14:textId="77777777" w:rsidR="0011417F" w:rsidRDefault="0011417F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4F2384FA" w14:textId="20D81A37" w:rsidR="0011417F" w:rsidRDefault="0011417F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250A37">
          <w:rPr>
            <w:rStyle w:val="Hyperlink"/>
            <w:rFonts w:asciiTheme="minorHAnsi" w:hAnsiTheme="minorHAnsi" w:cstheme="minorHAnsi"/>
            <w:sz w:val="22"/>
            <w:szCs w:val="22"/>
          </w:rPr>
          <w:t>https://saskdiving.wordpress.com/policy-forms/risk-management-policy-forms/</w:t>
        </w:r>
      </w:hyperlink>
    </w:p>
    <w:p w14:paraId="0E8FE8BA" w14:textId="77777777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601FA89D" w14:textId="77777777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45A0B8FC" w14:textId="295294B5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Thanks for your cooperation,</w:t>
      </w:r>
    </w:p>
    <w:p w14:paraId="0D1DCFD6" w14:textId="77777777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4CD187D5" w14:textId="77777777" w:rsidR="009032FB" w:rsidRDefault="009032FB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w:drawing>
          <wp:inline distT="0" distB="0" distL="0" distR="0" wp14:anchorId="0A382A6F" wp14:editId="677824FC">
            <wp:extent cx="1807957" cy="421647"/>
            <wp:effectExtent l="0" t="0" r="0" b="0"/>
            <wp:docPr id="195661869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1869" name="Picture 2" descr="A black background with blue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17" r="8163" b="23268"/>
                    <a:stretch/>
                  </pic:blipFill>
                  <pic:spPr bwMode="auto">
                    <a:xfrm>
                      <a:off x="0" y="0"/>
                      <a:ext cx="1811100" cy="422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83542" w14:textId="072FB8CF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Dive Sask Executive Director</w:t>
      </w:r>
    </w:p>
    <w:p w14:paraId="3C14988B" w14:textId="3DCE369F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250A37">
          <w:rPr>
            <w:rStyle w:val="Hyperlink"/>
            <w:rFonts w:asciiTheme="minorHAnsi" w:hAnsiTheme="minorHAnsi" w:cstheme="minorHAnsi"/>
            <w:sz w:val="22"/>
            <w:szCs w:val="22"/>
          </w:rPr>
          <w:t>info@divesask.ca</w:t>
        </w:r>
      </w:hyperlink>
    </w:p>
    <w:p w14:paraId="54A5CD71" w14:textId="70A547F4" w:rsidR="002530C2" w:rsidRP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18"/>
          <w:szCs w:val="18"/>
        </w:rPr>
      </w:pPr>
      <w:r w:rsidRPr="002530C2">
        <w:rPr>
          <w:rFonts w:asciiTheme="minorHAnsi" w:hAnsiTheme="minorHAnsi" w:cstheme="minorHAnsi"/>
          <w:sz w:val="18"/>
          <w:szCs w:val="18"/>
        </w:rPr>
        <w:t>306-780-9405</w:t>
      </w:r>
    </w:p>
    <w:p w14:paraId="15278CD5" w14:textId="77777777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p w14:paraId="49C2C124" w14:textId="77777777" w:rsidR="002530C2" w:rsidRDefault="002530C2" w:rsidP="00ED6262">
      <w:pPr>
        <w:ind w:left="567" w:right="45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855"/>
        <w:tblW w:w="11052" w:type="dxa"/>
        <w:tblLook w:val="04A0" w:firstRow="1" w:lastRow="0" w:firstColumn="1" w:lastColumn="0" w:noHBand="0" w:noVBand="1"/>
      </w:tblPr>
      <w:tblGrid>
        <w:gridCol w:w="6091"/>
        <w:gridCol w:w="2551"/>
        <w:gridCol w:w="2410"/>
      </w:tblGrid>
      <w:tr w:rsidR="009032FB" w:rsidRPr="00ED6262" w14:paraId="4847E309" w14:textId="77777777" w:rsidTr="009032FB">
        <w:tc>
          <w:tcPr>
            <w:tcW w:w="6091" w:type="dxa"/>
            <w:shd w:val="clear" w:color="auto" w:fill="074F6A" w:themeFill="accent4" w:themeFillShade="80"/>
          </w:tcPr>
          <w:p w14:paraId="59C5087D" w14:textId="77777777" w:rsidR="009032FB" w:rsidRPr="00B201B6" w:rsidRDefault="009032FB" w:rsidP="009032FB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DIVE SASK SAFE SPORT POLICY EXCEPTIONS</w:t>
            </w:r>
          </w:p>
        </w:tc>
        <w:tc>
          <w:tcPr>
            <w:tcW w:w="2551" w:type="dxa"/>
            <w:shd w:val="clear" w:color="auto" w:fill="074F6A" w:themeFill="accent4" w:themeFillShade="80"/>
          </w:tcPr>
          <w:p w14:paraId="76E39406" w14:textId="39D87412" w:rsidR="009032FB" w:rsidRPr="00B201B6" w:rsidRDefault="009032FB" w:rsidP="009032F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201B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Full season (</w:t>
            </w:r>
            <w:r w:rsidR="00926F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25/26)</w:t>
            </w:r>
            <w:r w:rsidRPr="00B201B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OR list specific event(s)</w:t>
            </w:r>
          </w:p>
        </w:tc>
        <w:tc>
          <w:tcPr>
            <w:tcW w:w="2410" w:type="dxa"/>
            <w:shd w:val="clear" w:color="auto" w:fill="074F6A" w:themeFill="accent4" w:themeFillShade="80"/>
          </w:tcPr>
          <w:p w14:paraId="13B2AA9C" w14:textId="77777777" w:rsidR="009032FB" w:rsidRPr="00B201B6" w:rsidRDefault="009032FB" w:rsidP="009032F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Webdings" w:hAnsi="Webdings" w:cstheme="minorHAnsi"/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Pr="00B201B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Yes, I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give my permission for this exception </w:t>
            </w:r>
            <w:r w:rsidRPr="00B201B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(Signature)</w:t>
            </w:r>
          </w:p>
        </w:tc>
      </w:tr>
      <w:tr w:rsidR="009032FB" w:rsidRPr="00ED6262" w14:paraId="5F79FD37" w14:textId="77777777" w:rsidTr="009032FB">
        <w:tc>
          <w:tcPr>
            <w:tcW w:w="11052" w:type="dxa"/>
            <w:gridSpan w:val="3"/>
          </w:tcPr>
          <w:p w14:paraId="08DDAB3C" w14:textId="77777777" w:rsidR="009032FB" w:rsidRDefault="009032FB" w:rsidP="00903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Athlete:</w:t>
            </w:r>
          </w:p>
          <w:p w14:paraId="3AFEE3E8" w14:textId="77777777" w:rsidR="009032FB" w:rsidRPr="00ED6262" w:rsidRDefault="009032FB" w:rsidP="00903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2FB" w:rsidRPr="00B201B6" w14:paraId="61AA1217" w14:textId="77777777" w:rsidTr="009032FB">
        <w:tc>
          <w:tcPr>
            <w:tcW w:w="11052" w:type="dxa"/>
            <w:gridSpan w:val="3"/>
            <w:shd w:val="clear" w:color="auto" w:fill="074F6A" w:themeFill="accent4" w:themeFillShade="80"/>
          </w:tcPr>
          <w:p w14:paraId="65F42130" w14:textId="77777777" w:rsidR="009032FB" w:rsidRPr="00B201B6" w:rsidRDefault="009032FB" w:rsidP="009032FB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B201B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ULE OF TWO</w:t>
            </w:r>
          </w:p>
        </w:tc>
      </w:tr>
      <w:tr w:rsidR="009032FB" w14:paraId="596FFFA1" w14:textId="77777777" w:rsidTr="009032FB">
        <w:tc>
          <w:tcPr>
            <w:tcW w:w="6091" w:type="dxa"/>
          </w:tcPr>
          <w:p w14:paraId="5484EC86" w14:textId="77777777" w:rsidR="009032FB" w:rsidRPr="003F2445" w:rsidRDefault="009032FB" w:rsidP="009032FB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24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Persons in Authority shall not invite or have a Vulnerable Participant (or Vulnerable Participants) in their home without the written permission and contemporaneous knowledge of the Vulnerable Participant's parent or guardian.  </w:t>
            </w:r>
          </w:p>
          <w:p w14:paraId="0A72A74D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88E78C" w14:textId="77777777" w:rsidR="009032FB" w:rsidRDefault="009032FB" w:rsidP="00903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7D6FF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2FB" w14:paraId="2317FDF2" w14:textId="77777777" w:rsidTr="009032FB">
        <w:tc>
          <w:tcPr>
            <w:tcW w:w="6091" w:type="dxa"/>
          </w:tcPr>
          <w:p w14:paraId="38AE9B3B" w14:textId="77777777" w:rsidR="009032FB" w:rsidRPr="003F2445" w:rsidRDefault="009032FB" w:rsidP="009032FB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24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Vulnerable Participants must not be in any situation where they are alone with a Person in Authority without another screened adult or Athlete present unless prior written permission is obtained from the Vulnerable Participant’s parent or guardian.</w:t>
            </w:r>
          </w:p>
          <w:p w14:paraId="1D85F4D0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70D82E4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632891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2FB" w:rsidRPr="00ED6262" w14:paraId="1CA573EA" w14:textId="77777777" w:rsidTr="009032FB">
        <w:tc>
          <w:tcPr>
            <w:tcW w:w="6091" w:type="dxa"/>
            <w:shd w:val="clear" w:color="auto" w:fill="074F6A" w:themeFill="accent4" w:themeFillShade="80"/>
          </w:tcPr>
          <w:p w14:paraId="6A75FA63" w14:textId="77777777" w:rsidR="009032FB" w:rsidRPr="00ED6262" w:rsidRDefault="009032FB" w:rsidP="009032F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01B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TRAVEL</w:t>
            </w:r>
          </w:p>
        </w:tc>
        <w:tc>
          <w:tcPr>
            <w:tcW w:w="2551" w:type="dxa"/>
            <w:shd w:val="clear" w:color="auto" w:fill="074F6A" w:themeFill="accent4" w:themeFillShade="80"/>
          </w:tcPr>
          <w:p w14:paraId="4B13A120" w14:textId="77777777" w:rsidR="009032FB" w:rsidRPr="00ED6262" w:rsidRDefault="009032FB" w:rsidP="009032F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74F6A" w:themeFill="accent4" w:themeFillShade="80"/>
          </w:tcPr>
          <w:p w14:paraId="4B191773" w14:textId="77777777" w:rsidR="009032FB" w:rsidRPr="00ED6262" w:rsidRDefault="009032FB" w:rsidP="009032F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32FB" w14:paraId="7C30BF3C" w14:textId="77777777" w:rsidTr="009032FB">
        <w:tc>
          <w:tcPr>
            <w:tcW w:w="6091" w:type="dxa"/>
          </w:tcPr>
          <w:p w14:paraId="125CA962" w14:textId="77777777" w:rsidR="009032FB" w:rsidRDefault="009032FB" w:rsidP="00903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</w:pPr>
            <w:r w:rsidRPr="003F2445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Teams or groups of Athletes shall always have at least two Persons in Authority with them</w:t>
            </w:r>
            <w: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7664F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unless written approval is obtained from a parent/guardian of each traveling Athlete to allow one coach to travel with the team</w:t>
            </w:r>
            <w:r w:rsidRPr="00F47F55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 xml:space="preserve">  PARENTS OF ALL TEAM MEMBERS MUST AGREE TO THIS EXCEPTION OR IT WILL NOT BE GRANTED.</w:t>
            </w:r>
          </w:p>
          <w:p w14:paraId="07DAD21F" w14:textId="77777777" w:rsidR="009032FB" w:rsidRPr="00ED6262" w:rsidRDefault="009032FB" w:rsidP="00903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0BBA79B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A19D5EC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2FB" w14:paraId="704D0F1D" w14:textId="77777777" w:rsidTr="009032FB">
        <w:tc>
          <w:tcPr>
            <w:tcW w:w="6091" w:type="dxa"/>
          </w:tcPr>
          <w:p w14:paraId="75254E57" w14:textId="77777777" w:rsidR="009032FB" w:rsidRDefault="009032FB" w:rsidP="00903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</w:pPr>
            <w:r w:rsidRPr="00F47F55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 xml:space="preserve">For mixed gender teams or groups of Athletes, there will be one Person in Authority from each gender, </w:t>
            </w:r>
            <w:r w:rsidRPr="003178BC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unless written approval is obtained from a parent/guardian of each traveling Athlete to allow one coach or two Persons in Authority of the same gender to travel with the team</w:t>
            </w:r>
            <w:r w:rsidRPr="00F47F55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 xml:space="preserve">  PARENTS OF ALL TEAM MEMBERS MUST AGREE TO THIS EXCEPTION OR IT WILL NOT BE GRANTED.</w:t>
            </w:r>
          </w:p>
          <w:p w14:paraId="333B4F06" w14:textId="77777777" w:rsidR="009032FB" w:rsidRPr="00ED6262" w:rsidRDefault="009032FB" w:rsidP="00903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5376EB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05D1C3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2FB" w14:paraId="22E36F64" w14:textId="77777777" w:rsidTr="009032FB">
        <w:tc>
          <w:tcPr>
            <w:tcW w:w="6091" w:type="dxa"/>
          </w:tcPr>
          <w:p w14:paraId="5749AD51" w14:textId="77777777" w:rsidR="009032FB" w:rsidRDefault="009032FB" w:rsidP="009032FB">
            <w:pPr>
              <w:jc w:val="both"/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</w:pPr>
            <w:r w:rsidRPr="00F47F55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 xml:space="preserve">No Person in Authority may drive a vehicle with an Athlete alone unless the Person in Authority is the Athlete’s parent or guardian, </w:t>
            </w:r>
            <w:r w:rsidRPr="003178BC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unless written permission has been obtained by a parent/guardian of the Athlete</w:t>
            </w:r>
            <w:r w:rsidRPr="00F47F55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08AD7EA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989FD88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D015DC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2FB" w14:paraId="7BC4A4BD" w14:textId="77777777" w:rsidTr="009032FB">
        <w:tc>
          <w:tcPr>
            <w:tcW w:w="6091" w:type="dxa"/>
          </w:tcPr>
          <w:p w14:paraId="0A351A56" w14:textId="77777777" w:rsidR="009032FB" w:rsidRDefault="009032FB" w:rsidP="00903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</w:pPr>
            <w:r w:rsidRPr="00F47F55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 xml:space="preserve">For overnight travel when Athletes must share a hotel room, roommates will be age-appropriate and, for Minors, shall be within two years of age and of the same gender identity, </w:t>
            </w:r>
            <w:r w:rsidRPr="003178BC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unless written permission has been obtained by a parent/guardian of the Athlete</w:t>
            </w:r>
            <w:r w:rsidRPr="00F47F55"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s</w:t>
            </w:r>
            <w: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24001E7" w14:textId="77777777" w:rsidR="009032FB" w:rsidRPr="00F47F55" w:rsidRDefault="009032FB" w:rsidP="00903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95B848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CB994A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2FB" w14:paraId="408AF830" w14:textId="77777777" w:rsidTr="009032FB">
        <w:tc>
          <w:tcPr>
            <w:tcW w:w="6091" w:type="dxa"/>
          </w:tcPr>
          <w:p w14:paraId="41F0E66A" w14:textId="77777777" w:rsidR="009032FB" w:rsidRPr="003F2445" w:rsidRDefault="009032FB" w:rsidP="00903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24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 any photographs or videos will be used on any form of public media, an Image Consent Form must be completed before any images are taken and used.</w:t>
            </w:r>
          </w:p>
          <w:p w14:paraId="51C43ECF" w14:textId="77777777" w:rsidR="009032FB" w:rsidRPr="00F47F55" w:rsidRDefault="009032FB" w:rsidP="00903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Gotham Book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0AA5DEB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E1EE97" w14:textId="77777777" w:rsidR="009032FB" w:rsidRDefault="009032FB" w:rsidP="00903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920838" w14:textId="0FC645D1" w:rsidR="00786A2A" w:rsidRDefault="00786A2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1F85926" w14:textId="77777777" w:rsidR="002530C2" w:rsidRPr="00B201B6" w:rsidRDefault="002530C2" w:rsidP="00786A2A">
      <w:pPr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08A8FC1F" w14:textId="59CD449B" w:rsidR="00786A2A" w:rsidRDefault="00B201B6">
      <w:r>
        <w:t>Date:  _______________________________</w:t>
      </w:r>
    </w:p>
    <w:sectPr w:rsidR="00786A2A" w:rsidSect="00ED626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ok Regular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D82"/>
    <w:multiLevelType w:val="multilevel"/>
    <w:tmpl w:val="68727E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9212B"/>
    <w:multiLevelType w:val="multilevel"/>
    <w:tmpl w:val="419436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31B3"/>
    <w:multiLevelType w:val="multilevel"/>
    <w:tmpl w:val="68B2F3D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3867412">
    <w:abstractNumId w:val="2"/>
  </w:num>
  <w:num w:numId="2" w16cid:durableId="644117702">
    <w:abstractNumId w:val="0"/>
  </w:num>
  <w:num w:numId="3" w16cid:durableId="114643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2A"/>
    <w:rsid w:val="0011417F"/>
    <w:rsid w:val="0023079E"/>
    <w:rsid w:val="002530C2"/>
    <w:rsid w:val="0036374B"/>
    <w:rsid w:val="005D63FC"/>
    <w:rsid w:val="006542F0"/>
    <w:rsid w:val="00786A2A"/>
    <w:rsid w:val="007A0675"/>
    <w:rsid w:val="00840832"/>
    <w:rsid w:val="009032FB"/>
    <w:rsid w:val="00926F23"/>
    <w:rsid w:val="00986F8B"/>
    <w:rsid w:val="00B201B6"/>
    <w:rsid w:val="00CA0B3B"/>
    <w:rsid w:val="00D70B8B"/>
    <w:rsid w:val="00E22004"/>
    <w:rsid w:val="00ED6262"/>
    <w:rsid w:val="00F3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0B4C"/>
  <w15:chartTrackingRefBased/>
  <w15:docId w15:val="{B936B7B1-B574-4BDF-A195-5AEE2835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A2A"/>
    <w:pPr>
      <w:spacing w:after="0" w:line="240" w:lineRule="auto"/>
    </w:pPr>
    <w:rPr>
      <w:rFonts w:ascii="Gotham Book Regular" w:eastAsia="Gotham Book Regular" w:hAnsi="Gotham Book Regular" w:cs="Gotham Book Regular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A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63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askdiving.wordpress.com/policy-forms/risk-management-policy-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vesask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ivesas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Swanson</dc:creator>
  <cp:keywords/>
  <dc:description/>
  <cp:lastModifiedBy>Burnett, Sean SBP</cp:lastModifiedBy>
  <cp:revision>2</cp:revision>
  <dcterms:created xsi:type="dcterms:W3CDTF">2025-09-23T22:49:00Z</dcterms:created>
  <dcterms:modified xsi:type="dcterms:W3CDTF">2025-09-23T22:49:00Z</dcterms:modified>
</cp:coreProperties>
</file>